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E" w:rsidRPr="00881A9E" w:rsidRDefault="00881A9E" w:rsidP="00881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A9E">
        <w:rPr>
          <w:rFonts w:ascii="Times New Roman" w:hAnsi="Times New Roman" w:cs="Times New Roman"/>
          <w:sz w:val="28"/>
          <w:szCs w:val="28"/>
        </w:rPr>
        <w:t>Анализ</w:t>
      </w:r>
      <w:r w:rsidR="00A51A29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881A9E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</w:p>
    <w:p w:rsidR="000D1BFE" w:rsidRDefault="00881A9E" w:rsidP="00881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A9E">
        <w:rPr>
          <w:rFonts w:ascii="Times New Roman" w:hAnsi="Times New Roman" w:cs="Times New Roman"/>
          <w:sz w:val="28"/>
          <w:szCs w:val="28"/>
        </w:rPr>
        <w:t>Жирновского муниципального района</w:t>
      </w:r>
      <w:r w:rsidR="00A51A29">
        <w:rPr>
          <w:rFonts w:ascii="Times New Roman" w:hAnsi="Times New Roman" w:cs="Times New Roman"/>
          <w:sz w:val="28"/>
          <w:szCs w:val="28"/>
        </w:rPr>
        <w:t xml:space="preserve"> за 2015/2016 учебный год</w:t>
      </w:r>
    </w:p>
    <w:p w:rsidR="00881A9E" w:rsidRPr="00881A9E" w:rsidRDefault="00881A9E" w:rsidP="00881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A9E" w:rsidRPr="007E040B" w:rsidRDefault="00881A9E" w:rsidP="00881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образования </w:t>
      </w:r>
      <w:r w:rsidRPr="007E040B">
        <w:rPr>
          <w:rFonts w:ascii="Times New Roman" w:eastAsia="Calibri" w:hAnsi="Times New Roman" w:cs="Times New Roman"/>
          <w:sz w:val="28"/>
          <w:szCs w:val="28"/>
        </w:rPr>
        <w:t xml:space="preserve">Жирновского муниципального </w:t>
      </w:r>
      <w:r w:rsidRPr="007E0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включает в себя: </w:t>
      </w:r>
    </w:p>
    <w:p w:rsidR="00881A9E" w:rsidRPr="007E040B" w:rsidRDefault="00881A9E" w:rsidP="00881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- 12 общеобразовательных учреждений и 10 филиалов; </w:t>
      </w:r>
    </w:p>
    <w:p w:rsidR="00881A9E" w:rsidRPr="007E040B" w:rsidRDefault="00881A9E" w:rsidP="00881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- 15 дошкольных образовательных  организаций, 6 филиалов, 2 структурных подразделения и 3 группы кратковременного пребывания; </w:t>
      </w:r>
    </w:p>
    <w:p w:rsidR="00881A9E" w:rsidRPr="007E040B" w:rsidRDefault="00881A9E" w:rsidP="00881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- 3 учреждения дополнительного образования. </w:t>
      </w:r>
    </w:p>
    <w:p w:rsidR="00881A9E" w:rsidRPr="007E040B" w:rsidRDefault="00881A9E" w:rsidP="00881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7E0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общеобразовательных учреждениях района обучаются 3985  человек, в дошкольных образовательных учреждениях - 1688 детей, а в учреждениях дополнительного образования 4157 человек. </w:t>
      </w:r>
    </w:p>
    <w:p w:rsidR="007E040B" w:rsidRPr="007E040B" w:rsidRDefault="007E040B" w:rsidP="007E04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7E040B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Для выполнения «майских» указов президента, соглашения между Главой Жирновского муниципального района и комитетом по образованию и науке Волгоградской области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в районе  продолжились</w:t>
      </w:r>
      <w:r w:rsidRPr="007E040B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оптимизационные мероприятия.</w:t>
      </w:r>
      <w:r w:rsidRPr="007E040B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7E040B" w:rsidRPr="007E040B" w:rsidRDefault="007E040B" w:rsidP="007E04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7E040B">
        <w:rPr>
          <w:rFonts w:ascii="Times New Roman" w:eastAsia="Calibri" w:hAnsi="Times New Roman" w:cs="Times New Roman"/>
          <w:sz w:val="28"/>
          <w:szCs w:val="32"/>
        </w:rPr>
        <w:t xml:space="preserve">Стали  филиалами Алешниковская СОШ, Верхнедобринская СОШ, </w:t>
      </w:r>
      <w:proofErr w:type="spellStart"/>
      <w:r w:rsidRPr="007E040B">
        <w:rPr>
          <w:rFonts w:ascii="Times New Roman" w:eastAsia="Calibri" w:hAnsi="Times New Roman" w:cs="Times New Roman"/>
          <w:sz w:val="28"/>
          <w:szCs w:val="32"/>
        </w:rPr>
        <w:t>Вишнёвская</w:t>
      </w:r>
      <w:proofErr w:type="spellEnd"/>
      <w:r w:rsidRPr="007E040B">
        <w:rPr>
          <w:rFonts w:ascii="Times New Roman" w:eastAsia="Calibri" w:hAnsi="Times New Roman" w:cs="Times New Roman"/>
          <w:sz w:val="28"/>
          <w:szCs w:val="32"/>
        </w:rPr>
        <w:t xml:space="preserve"> ООШ, Ершовская ООШ, Андреевская ООШ, Новинская СОШ, Песковская ООШ. Были присоединены </w:t>
      </w:r>
      <w:proofErr w:type="gramStart"/>
      <w:r w:rsidRPr="007E040B">
        <w:rPr>
          <w:rFonts w:ascii="Times New Roman" w:eastAsia="Calibri" w:hAnsi="Times New Roman" w:cs="Times New Roman"/>
          <w:sz w:val="28"/>
          <w:szCs w:val="32"/>
        </w:rPr>
        <w:t>Красноярский</w:t>
      </w:r>
      <w:proofErr w:type="gramEnd"/>
      <w:r w:rsidRPr="007E040B">
        <w:rPr>
          <w:rFonts w:ascii="Times New Roman" w:eastAsia="Calibri" w:hAnsi="Times New Roman" w:cs="Times New Roman"/>
          <w:sz w:val="28"/>
          <w:szCs w:val="32"/>
        </w:rPr>
        <w:t xml:space="preserve"> МДС № 1, Линёвский МДС №3 «Берёзка», Жирновский МДС №4 «Звёздочка».</w:t>
      </w:r>
      <w:r>
        <w:rPr>
          <w:rFonts w:ascii="Times New Roman" w:eastAsia="Calibri" w:hAnsi="Times New Roman" w:cs="Times New Roman"/>
          <w:sz w:val="28"/>
          <w:szCs w:val="32"/>
        </w:rPr>
        <w:t xml:space="preserve"> Надо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отметить</w:t>
      </w:r>
      <w:proofErr w:type="gramStart"/>
      <w:r w:rsidRPr="007E040B">
        <w:rPr>
          <w:rFonts w:ascii="Times New Roman" w:eastAsia="Calibri" w:hAnsi="Times New Roman" w:cs="Times New Roman"/>
          <w:sz w:val="28"/>
          <w:szCs w:val="32"/>
        </w:rPr>
        <w:t>,ч</w:t>
      </w:r>
      <w:proofErr w:type="gramEnd"/>
      <w:r w:rsidRPr="007E040B">
        <w:rPr>
          <w:rFonts w:ascii="Times New Roman" w:eastAsia="Calibri" w:hAnsi="Times New Roman" w:cs="Times New Roman"/>
          <w:sz w:val="28"/>
          <w:szCs w:val="32"/>
        </w:rPr>
        <w:t>то</w:t>
      </w:r>
      <w:proofErr w:type="spellEnd"/>
      <w:r w:rsidRPr="007E040B">
        <w:rPr>
          <w:rFonts w:ascii="Times New Roman" w:eastAsia="Calibri" w:hAnsi="Times New Roman" w:cs="Times New Roman"/>
          <w:sz w:val="28"/>
          <w:szCs w:val="32"/>
        </w:rPr>
        <w:t xml:space="preserve"> эти изменения не повлияли на доступность и качество образования. </w:t>
      </w:r>
    </w:p>
    <w:p w:rsidR="007E040B" w:rsidRPr="007E040B" w:rsidRDefault="007E040B" w:rsidP="007E04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0B">
        <w:rPr>
          <w:rFonts w:ascii="Times New Roman" w:eastAsia="Calibri" w:hAnsi="Times New Roman" w:cs="Times New Roman"/>
          <w:sz w:val="28"/>
          <w:szCs w:val="28"/>
        </w:rPr>
        <w:t xml:space="preserve">Сегодня требования высокого качества со стороны потребителей неуклонно перемещаются с заключительной стадии обучения </w:t>
      </w:r>
      <w:proofErr w:type="gramStart"/>
      <w:r w:rsidRPr="007E040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E040B">
        <w:rPr>
          <w:rFonts w:ascii="Times New Roman" w:eastAsia="Calibri" w:hAnsi="Times New Roman" w:cs="Times New Roman"/>
          <w:sz w:val="28"/>
          <w:szCs w:val="28"/>
        </w:rPr>
        <w:t xml:space="preserve">   более ранние.  Поэтому   дошкольное образование стало первым уровнем общего образования. Государство теперь гарантирует не только доступность, но и качество образования на этом уровне. Но, чтобы дать качественное дошкольное образование необходимо, чтобы каждый желающий мог получить место в дошкольном образовательном учреждении.</w:t>
      </w:r>
    </w:p>
    <w:p w:rsidR="007E040B" w:rsidRPr="007E040B" w:rsidRDefault="007E040B" w:rsidP="007E04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0B">
        <w:rPr>
          <w:rFonts w:ascii="Times New Roman" w:eastAsia="Calibri" w:hAnsi="Times New Roman" w:cs="Times New Roman"/>
          <w:sz w:val="28"/>
          <w:szCs w:val="28"/>
        </w:rPr>
        <w:t>Охват дошкольным образованием составляет  64% . За последние пять лет он вырос на 13%</w:t>
      </w:r>
    </w:p>
    <w:p w:rsidR="007E040B" w:rsidRPr="007E040B" w:rsidRDefault="007E040B" w:rsidP="007E040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04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A71E7" wp14:editId="3DE0A666">
            <wp:extent cx="5686425" cy="3121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24" cy="31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0B" w:rsidRPr="007E040B" w:rsidRDefault="007E040B" w:rsidP="007E040B">
      <w:pPr>
        <w:rPr>
          <w:rFonts w:ascii="Times New Roman" w:eastAsia="Calibri" w:hAnsi="Times New Roman" w:cs="Times New Roman"/>
          <w:sz w:val="28"/>
          <w:szCs w:val="28"/>
        </w:rPr>
      </w:pPr>
      <w:r w:rsidRPr="007E040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E040B">
        <w:rPr>
          <w:rFonts w:ascii="Times New Roman" w:eastAsia="Calibri" w:hAnsi="Times New Roman" w:cs="Times New Roman"/>
          <w:sz w:val="28"/>
        </w:rPr>
        <w:t>На территории Жирновского муниципального района 100%  доступность дошкольного образования.</w:t>
      </w:r>
    </w:p>
    <w:p w:rsidR="000834D8" w:rsidRPr="00DB727E" w:rsidRDefault="000834D8" w:rsidP="000834D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Свободные места есть во всех сельских садах и городских поселениях. 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27E">
        <w:rPr>
          <w:rFonts w:ascii="Times New Roman" w:hAnsi="Times New Roman" w:cs="Times New Roman"/>
          <w:sz w:val="28"/>
          <w:szCs w:val="28"/>
        </w:rPr>
        <w:t xml:space="preserve">        В рамках реализации 210- ФЗ «Об организации предоставления государственных и муниципальных услуг» для предоставления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в 2015 г. была установлена новая  единая информационная система Волгоградской области. Согласно ЕИС Волгоградской области «</w:t>
      </w:r>
      <w:proofErr w:type="gramStart"/>
      <w:r w:rsidRPr="00DB727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B727E">
        <w:rPr>
          <w:rFonts w:ascii="Times New Roman" w:hAnsi="Times New Roman" w:cs="Times New Roman"/>
          <w:sz w:val="28"/>
          <w:szCs w:val="28"/>
        </w:rPr>
        <w:t xml:space="preserve"> услуги. Образование» в реестре зарегистрированы 281 ребенок, с желаемой датой зачисления в детский сад  2017, 2018 годы.</w:t>
      </w:r>
    </w:p>
    <w:p w:rsidR="000834D8" w:rsidRPr="000834D8" w:rsidRDefault="000834D8" w:rsidP="000834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</w:rPr>
      </w:pPr>
    </w:p>
    <w:p w:rsidR="000834D8" w:rsidRPr="000834D8" w:rsidRDefault="000834D8" w:rsidP="000834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D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834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326DA" wp14:editId="60464A1E">
            <wp:extent cx="5143500" cy="34290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34D8" w:rsidRPr="000834D8" w:rsidRDefault="000834D8" w:rsidP="000834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D8">
        <w:rPr>
          <w:rFonts w:ascii="Times New Roman" w:eastAsia="Calibri" w:hAnsi="Times New Roman" w:cs="Times New Roman"/>
          <w:sz w:val="28"/>
          <w:szCs w:val="28"/>
        </w:rPr>
        <w:t>За 2016 год было выдано  381 направление в детские сады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1651"/>
        <w:gridCol w:w="1384"/>
        <w:gridCol w:w="1349"/>
      </w:tblGrid>
      <w:tr w:rsidR="000834D8" w:rsidRPr="000834D8" w:rsidTr="00CA4A5F">
        <w:tc>
          <w:tcPr>
            <w:tcW w:w="5353" w:type="dxa"/>
            <w:shd w:val="clear" w:color="auto" w:fill="auto"/>
          </w:tcPr>
          <w:p w:rsidR="000834D8" w:rsidRPr="000834D8" w:rsidRDefault="000834D8" w:rsidP="000834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834D8">
              <w:rPr>
                <w:rFonts w:ascii="Times New Roman" w:eastAsia="Calibri" w:hAnsi="Times New Roman" w:cs="Times New Roman"/>
                <w:sz w:val="28"/>
                <w:szCs w:val="24"/>
              </w:rPr>
              <w:t>Годы</w:t>
            </w:r>
          </w:p>
          <w:p w:rsidR="000834D8" w:rsidRPr="000834D8" w:rsidRDefault="000834D8" w:rsidP="000834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34D8" w:rsidRPr="000834D8" w:rsidRDefault="000834D8" w:rsidP="0008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834D8">
              <w:rPr>
                <w:rFonts w:ascii="Times New Roman" w:eastAsia="Calibri" w:hAnsi="Times New Roman" w:cs="Times New Roman"/>
                <w:sz w:val="28"/>
                <w:szCs w:val="24"/>
              </w:rPr>
              <w:t>2014 г.</w:t>
            </w:r>
          </w:p>
        </w:tc>
        <w:tc>
          <w:tcPr>
            <w:tcW w:w="1418" w:type="dxa"/>
            <w:shd w:val="clear" w:color="auto" w:fill="auto"/>
          </w:tcPr>
          <w:p w:rsidR="000834D8" w:rsidRPr="000834D8" w:rsidRDefault="000834D8" w:rsidP="0008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834D8">
              <w:rPr>
                <w:rFonts w:ascii="Times New Roman" w:eastAsia="Calibri" w:hAnsi="Times New Roman" w:cs="Times New Roman"/>
                <w:sz w:val="28"/>
                <w:szCs w:val="24"/>
              </w:rPr>
              <w:t>2015 г.</w:t>
            </w:r>
          </w:p>
        </w:tc>
        <w:tc>
          <w:tcPr>
            <w:tcW w:w="1381" w:type="dxa"/>
            <w:shd w:val="clear" w:color="auto" w:fill="auto"/>
          </w:tcPr>
          <w:p w:rsidR="000834D8" w:rsidRPr="000834D8" w:rsidRDefault="000834D8" w:rsidP="0008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834D8">
              <w:rPr>
                <w:rFonts w:ascii="Times New Roman" w:eastAsia="Calibri" w:hAnsi="Times New Roman" w:cs="Times New Roman"/>
                <w:sz w:val="28"/>
                <w:szCs w:val="24"/>
              </w:rPr>
              <w:t>2016 г.</w:t>
            </w:r>
          </w:p>
        </w:tc>
      </w:tr>
      <w:tr w:rsidR="000834D8" w:rsidRPr="000834D8" w:rsidTr="00CA4A5F">
        <w:tc>
          <w:tcPr>
            <w:tcW w:w="5353" w:type="dxa"/>
            <w:shd w:val="clear" w:color="auto" w:fill="auto"/>
          </w:tcPr>
          <w:p w:rsidR="000834D8" w:rsidRPr="000834D8" w:rsidRDefault="000834D8" w:rsidP="000834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834D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количество выданных путёвок </w:t>
            </w:r>
            <w:proofErr w:type="gramStart"/>
            <w:r w:rsidRPr="000834D8">
              <w:rPr>
                <w:rFonts w:ascii="Times New Roman" w:eastAsia="Calibri" w:hAnsi="Times New Roman" w:cs="Times New Roman"/>
                <w:sz w:val="28"/>
                <w:szCs w:val="24"/>
              </w:rPr>
              <w:t>-н</w:t>
            </w:r>
            <w:proofErr w:type="gramEnd"/>
            <w:r w:rsidRPr="000834D8">
              <w:rPr>
                <w:rFonts w:ascii="Times New Roman" w:eastAsia="Calibri" w:hAnsi="Times New Roman" w:cs="Times New Roman"/>
                <w:sz w:val="28"/>
                <w:szCs w:val="24"/>
              </w:rPr>
              <w:t>аправлений (основное комплектование)</w:t>
            </w:r>
          </w:p>
        </w:tc>
        <w:tc>
          <w:tcPr>
            <w:tcW w:w="1701" w:type="dxa"/>
            <w:shd w:val="clear" w:color="auto" w:fill="auto"/>
          </w:tcPr>
          <w:p w:rsidR="000834D8" w:rsidRPr="000834D8" w:rsidRDefault="000834D8" w:rsidP="0008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834D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462</w:t>
            </w:r>
          </w:p>
        </w:tc>
        <w:tc>
          <w:tcPr>
            <w:tcW w:w="1418" w:type="dxa"/>
            <w:shd w:val="clear" w:color="auto" w:fill="auto"/>
          </w:tcPr>
          <w:p w:rsidR="000834D8" w:rsidRPr="000834D8" w:rsidRDefault="000834D8" w:rsidP="0008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834D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408</w:t>
            </w:r>
          </w:p>
        </w:tc>
        <w:tc>
          <w:tcPr>
            <w:tcW w:w="1381" w:type="dxa"/>
            <w:shd w:val="clear" w:color="auto" w:fill="auto"/>
          </w:tcPr>
          <w:p w:rsidR="000834D8" w:rsidRPr="000834D8" w:rsidRDefault="000834D8" w:rsidP="0008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834D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381</w:t>
            </w:r>
          </w:p>
        </w:tc>
      </w:tr>
    </w:tbl>
    <w:p w:rsidR="000834D8" w:rsidRPr="000834D8" w:rsidRDefault="000834D8" w:rsidP="000834D8">
      <w:pPr>
        <w:rPr>
          <w:rFonts w:ascii="Times New Roman" w:eastAsia="Calibri" w:hAnsi="Times New Roman" w:cs="Times New Roman"/>
          <w:sz w:val="28"/>
          <w:szCs w:val="28"/>
        </w:rPr>
      </w:pPr>
      <w:r w:rsidRPr="000834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D8">
        <w:rPr>
          <w:rFonts w:ascii="Times New Roman" w:hAnsi="Times New Roman" w:cs="Times New Roman"/>
          <w:sz w:val="28"/>
          <w:szCs w:val="28"/>
        </w:rPr>
        <w:t xml:space="preserve">     Как видно из диаграммы, количество детей, желающих пойти в детские сады, с каждым годом уменьшается, поэтому  уменьшается количество групп.         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4D8">
        <w:rPr>
          <w:rFonts w:ascii="Times New Roman" w:hAnsi="Times New Roman" w:cs="Times New Roman"/>
          <w:sz w:val="28"/>
          <w:szCs w:val="28"/>
        </w:rPr>
        <w:t>Качественное образование детям дошкольного возраста могут дать только грамотные, методически подкованные воспитатели.</w:t>
      </w:r>
      <w:r w:rsidRPr="00083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4D8">
        <w:rPr>
          <w:rFonts w:ascii="Times New Roman" w:hAnsi="Times New Roman" w:cs="Times New Roman"/>
          <w:sz w:val="28"/>
          <w:szCs w:val="28"/>
        </w:rPr>
        <w:t xml:space="preserve">С целью расширения теоретических и практических знаний педагогов  в этом учебном году в нашем районе проходила неделя  педагогического мастерства на тему «Опытно - экспериментальная деятельность с учётом ФГОС  дошкольного образования». Во время недели было дано 47 открытых занятий в детских садах г. Жирновска,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. Линево, с. Медведицкое,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. Красный Яр, </w:t>
      </w:r>
      <w:proofErr w:type="gramStart"/>
      <w:r w:rsidRPr="000834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4D8">
        <w:rPr>
          <w:rFonts w:ascii="Times New Roman" w:hAnsi="Times New Roman" w:cs="Times New Roman"/>
          <w:sz w:val="28"/>
          <w:szCs w:val="28"/>
        </w:rPr>
        <w:t>. Александровка, с. Нижняя Добринка, с. Тетеревятка.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34D8">
        <w:rPr>
          <w:rFonts w:ascii="Times New Roman" w:hAnsi="Times New Roman" w:cs="Times New Roman"/>
          <w:sz w:val="28"/>
          <w:szCs w:val="28"/>
        </w:rPr>
        <w:t xml:space="preserve">Одним из требований к аттестации педагогов на высшую и первую квалификационную категорию  является участие в профессиональных конкурсах. С этой целью в 2016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834D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834D8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 прошла «Ярмарка педагогических идей». В ярмарке приняли участие 15 педагогических работников из 10 детских садов  г.Жирновска,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. Линево,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>. Красный Яр, село Медведица.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D8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«Воспитатель года» стал традиционно значимым событием </w:t>
      </w:r>
      <w:proofErr w:type="gramStart"/>
      <w:r w:rsidRPr="000834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3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4D8">
        <w:rPr>
          <w:rFonts w:ascii="Times New Roman" w:hAnsi="Times New Roman" w:cs="Times New Roman"/>
          <w:sz w:val="28"/>
          <w:szCs w:val="28"/>
        </w:rPr>
        <w:t>Жирновском</w:t>
      </w:r>
      <w:proofErr w:type="gramEnd"/>
      <w:r w:rsidRPr="000834D8">
        <w:rPr>
          <w:rFonts w:ascii="Times New Roman" w:hAnsi="Times New Roman" w:cs="Times New Roman"/>
          <w:sz w:val="28"/>
          <w:szCs w:val="28"/>
        </w:rPr>
        <w:t xml:space="preserve"> муниципальном  районе. </w:t>
      </w:r>
      <w:r w:rsidRPr="000834D8">
        <w:rPr>
          <w:rFonts w:ascii="Times New Roman" w:hAnsi="Times New Roman" w:cs="Times New Roman"/>
          <w:bCs/>
          <w:iCs/>
          <w:sz w:val="28"/>
          <w:szCs w:val="28"/>
        </w:rPr>
        <w:t>Главная цель</w:t>
      </w:r>
      <w:r w:rsidRPr="00083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4D8">
        <w:rPr>
          <w:rFonts w:ascii="Times New Roman" w:hAnsi="Times New Roman" w:cs="Times New Roman"/>
          <w:sz w:val="28"/>
          <w:szCs w:val="28"/>
        </w:rPr>
        <w:t>конкурса – выявление талантливых, творчески работающих педагогов системы дошкольного образования района.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34D8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D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Дуденкова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 Ирина Владимировна, воспитатель ДОУ Красноярского муниципального детского сада №5 «Тополёк»;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D8">
        <w:rPr>
          <w:rFonts w:ascii="Times New Roman" w:hAnsi="Times New Roman" w:cs="Times New Roman"/>
          <w:sz w:val="28"/>
          <w:szCs w:val="28"/>
        </w:rPr>
        <w:t xml:space="preserve">2 место - 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Краутер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 Лариса Геннадьевна, воспитатель ДОУ Красноярского муниципального детского сада №3 «Смородинка»;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4D8">
        <w:rPr>
          <w:rFonts w:ascii="Times New Roman" w:hAnsi="Times New Roman" w:cs="Times New Roman"/>
          <w:sz w:val="28"/>
          <w:szCs w:val="28"/>
        </w:rPr>
        <w:t xml:space="preserve">3 место - 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 Людмила Константиновна, воспитатель ДОУ Красноярского муниципального  детского сада №  4 «Светлячок».</w:t>
      </w:r>
      <w:r w:rsidRPr="000834D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4D8">
        <w:rPr>
          <w:rFonts w:ascii="Times New Roman" w:hAnsi="Times New Roman" w:cs="Times New Roman"/>
          <w:sz w:val="28"/>
          <w:szCs w:val="28"/>
        </w:rPr>
        <w:t>В этом году работники дошкольных образовательных организаций заметно активизировались на областном уровне.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4D8">
        <w:rPr>
          <w:rFonts w:ascii="Times New Roman" w:hAnsi="Times New Roman" w:cs="Times New Roman"/>
          <w:sz w:val="28"/>
          <w:szCs w:val="28"/>
        </w:rPr>
        <w:t xml:space="preserve">Музыкальный руководитель ДОУ МДС № 9 «Золотой ключик» 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Н.И.Курочкина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0834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34D8">
        <w:rPr>
          <w:rFonts w:ascii="Times New Roman" w:hAnsi="Times New Roman" w:cs="Times New Roman"/>
          <w:sz w:val="28"/>
          <w:szCs w:val="28"/>
        </w:rPr>
        <w:t xml:space="preserve"> место в областном конкурсе профессионального мастерства «Воспитатель 2016 года»  за представление  духовно-нравственного воспитания. 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4D8">
        <w:rPr>
          <w:rFonts w:ascii="Times New Roman" w:hAnsi="Times New Roman" w:cs="Times New Roman"/>
          <w:sz w:val="28"/>
          <w:szCs w:val="28"/>
        </w:rPr>
        <w:t>А на Волгоградском областном форуме «Образование 2016»  в номинации «Инновационные практики индивидуализации образования в условиях реализации ФГОС (научно-методические и организационно-педагогические ресурсы образовательной организации)» ДОУ Красноярский МДС №5 «Тополёк» занял  1 место,  ДОУ МДС № 9 «Золотой ключик» 2 место, ДОУ МДС № 7 «Родничок» - 3 место.</w:t>
      </w:r>
    </w:p>
    <w:p w:rsidR="000834D8" w:rsidRP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4D8">
        <w:rPr>
          <w:rFonts w:ascii="Times New Roman" w:hAnsi="Times New Roman" w:cs="Times New Roman"/>
          <w:sz w:val="28"/>
          <w:szCs w:val="28"/>
        </w:rPr>
        <w:t xml:space="preserve">Для воспитанников детских садов проводятся различные конкурсы и соревнования, традиционными стали конкурсы чтецов и рисунков «Моя мамочка лучшая на свете», фестиваль «Весёлые старты», праздник «Детство – лучшая пора», «Новогоднее чудо своими рукам», впервые на базе ДОУ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Линёвского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 МДС  №2 «Ромашка» состоялось физкультурно-интеллектуальное мероприятие для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Линевских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 xml:space="preserve"> детских садов  - «Форт </w:t>
      </w:r>
      <w:proofErr w:type="spellStart"/>
      <w:r w:rsidRPr="000834D8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0834D8">
        <w:rPr>
          <w:rFonts w:ascii="Times New Roman" w:hAnsi="Times New Roman" w:cs="Times New Roman"/>
          <w:sz w:val="28"/>
          <w:szCs w:val="28"/>
        </w:rPr>
        <w:t>».</w:t>
      </w:r>
    </w:p>
    <w:p w:rsidR="000834D8" w:rsidRPr="000834D8" w:rsidRDefault="000834D8" w:rsidP="000834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34D8">
        <w:rPr>
          <w:rFonts w:ascii="Times New Roman" w:eastAsia="Calibri" w:hAnsi="Times New Roman" w:cs="Times New Roman"/>
          <w:sz w:val="28"/>
          <w:szCs w:val="28"/>
        </w:rPr>
        <w:t>Большая работа проводится нашими учителями по подготовке к государственной итоговой аттестации, но начинать ее надо уже в начальной школе. Именно здесь закладываются основы знаний, любознательности, интереса и развития творческих способностей. Многие годы традиционной целью школьного образования было овладение системой знаний, составляющих основу наук. Российские школьники лучше учащихся многих стран выполняют задания репродуктивного характера, отражающие овладение предметными знаниями и умениями. А результаты   при выполнении заданий на применение знаний в практических и  жизненных ситуациях ниже.</w:t>
      </w:r>
    </w:p>
    <w:p w:rsidR="000834D8" w:rsidRPr="000834D8" w:rsidRDefault="000834D8" w:rsidP="000834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D8">
        <w:rPr>
          <w:rFonts w:ascii="Times New Roman" w:eastAsia="Calibri" w:hAnsi="Times New Roman" w:cs="Times New Roman"/>
          <w:sz w:val="28"/>
          <w:szCs w:val="28"/>
        </w:rPr>
        <w:t xml:space="preserve">Поэтому   выдвинуты новые требования к результатам освоения основных образовательных программ. Необходимым становятся не сами знания, а знания о том, как и где их применять. Но ещё важнее знание о том, </w:t>
      </w:r>
      <w:r w:rsidRPr="000834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информацию добывать, интерпретировать, или создавать новую. На решение этих задач  </w:t>
      </w:r>
      <w:proofErr w:type="gramStart"/>
      <w:r w:rsidRPr="000834D8">
        <w:rPr>
          <w:rFonts w:ascii="Times New Roman" w:eastAsia="Calibri" w:hAnsi="Times New Roman" w:cs="Times New Roman"/>
          <w:sz w:val="28"/>
          <w:szCs w:val="28"/>
        </w:rPr>
        <w:t>направлен</w:t>
      </w:r>
      <w:proofErr w:type="gramEnd"/>
      <w:r w:rsidRPr="000834D8">
        <w:rPr>
          <w:rFonts w:ascii="Times New Roman" w:eastAsia="Calibri" w:hAnsi="Times New Roman" w:cs="Times New Roman"/>
          <w:sz w:val="28"/>
          <w:szCs w:val="28"/>
        </w:rPr>
        <w:t xml:space="preserve">  ФГОС. Таким образом, настала необходимость сместить акцент в образовании с усвоения фактов (результат – знания) на овладение способами взаимодействия с миром (результат – умения).     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По ФГОС НОО в 2015-2016 учебном году обучались 96 классов-комплектов в них  1740 детей с 1 по 4 классы.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По ФГОС ОО в 2015-2016 учебном году обучались 40 классов-комплектов - это 631 ученик.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Важным показателем качества образования являются результаты государственной итоговой аттестации. Для проведения ЕГЭ в  Жирновском муниципальном районе был задействован один пункт проведения экзамена, впервые с использованием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технологии сканирования бланков ответов участников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в ППЭ. Экзамены в районе проходили по 6 предметам.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Во всех   аудиториях велось онлайн-наблюдение.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 ЕГЭ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Жирновском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в 2016 году участвовали – 182 человека (171 выпускник текущего года).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Русский язык сдавали 180 человек, средний балл по региону – 66,2, в районе – 64,0,  показали результат 80 баллов и выше 21 человек, что составляет 11,6% (в 2015 году – 26 чел. – 15,6 %)   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Лучшие результаты показали 2 человека по 98 баллов –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</w:rPr>
        <w:t>Веприцкая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Виктория и Бережная Ангелина из МКОУ «Красноярская СШ № 2» 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Лучшие результаты по школам показали МКОУ «Александровская СШ», МКОУ «СШ № 1 г.Жирновска», МКОУ «СШ с углубленным изучением отдельных предметов  г. Жирновска»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Математику базовую  сдавали 171 человек, средний балл по региону – 4,0, в районе – 4,0. 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Математику профильную сдавали 147 человек, средний балл по региону -  42,4, в районе 41,8.  Лучшие результаты по 78 баллов у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</w:rPr>
        <w:t>Тохтамысова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Ильдара и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</w:rPr>
        <w:t>Майнина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Александра из МКОУ «СШ № 1 г.Жирновска».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Лучший средний балл по математике профильной МКОУ «Медведицкая СШ», МОУ «СШ № 2 г.Жирновска». Однако суммарный балл, а именно он сейчас учитывается во многих исследованиях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дал совсем другой рейтинг : МКОУ «СШ № 1 г.Жирновска», МКОУ «СШ с углубленным изучением отдельных предметов  г. Жирновска», МКОУ «Александровская СШ».</w:t>
      </w:r>
    </w:p>
    <w:p w:rsidR="00AC6B09" w:rsidRPr="00DB727E" w:rsidRDefault="00AC6B09" w:rsidP="00AC6B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Доля выпускников, не преодолевших минимальный аттестационный порог по обязательным предметам (русскому языку и математике), сократилась на 0,7% по сравнению с прошлым годом, т.е.  не смогли преодолеть минимальный порог для получения аттестата 1,8% участников.</w:t>
      </w:r>
    </w:p>
    <w:p w:rsidR="00AC6B09" w:rsidRDefault="00AC6B09" w:rsidP="00AC6B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A29" w:rsidRPr="00AC6B09" w:rsidRDefault="00A51A29" w:rsidP="00AC6B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B09" w:rsidRPr="00AC6B09" w:rsidRDefault="00AC6B09" w:rsidP="00AC6B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B09" w:rsidRDefault="00A51A29" w:rsidP="00AC6B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0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4989C05" wp14:editId="1DA672C4">
            <wp:extent cx="5400675" cy="2581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Лучше стал средний балл ЕГЭ по географии, истории, физике, химии, литературе, однако  хуже, чем в регионе стал средний балл по информатике, биологии, английскому языку, обществознанию. 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государственной итоговой аттестации по образовательным программам основного общего образования в Жирновском муниципальном районе Волгоградской области в 2016 году приняли 377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ГИА-9 включает в себя обязательные предметы (русский язык и математика), а также экзамены по выбору по двум учебным предметам. 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 основном государственном экзамене по математике по программам основного общего образования приняли участие 370 человек. Средний балл по математике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Жирновском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районе 14,2 (по области 14,8).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результаты показали девятиклассники МКОУ «СШ №1 </w:t>
      </w:r>
      <w:proofErr w:type="gramStart"/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г.Жирновска» МКОУ</w:t>
      </w:r>
      <w:proofErr w:type="gramEnd"/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«Александровская СШ», МКОУ «Красноярская СШ №1 им. В.В. Гусева».</w:t>
      </w:r>
    </w:p>
    <w:p w:rsidR="00AC6B09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 основном государственном экзамене по русскому языку по программам основного общего образования приняли участие 370 человек. Средний балл по русскому языку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Жирновском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28 (по области 28 баллов).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Лучшими в рейтинге являются: МКОУ «СШ № 2 г. Жирновска», МКОУ «СШ № 1 г. Жирновска»,  МКОУ «</w:t>
      </w:r>
      <w:proofErr w:type="gramStart"/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Красноярская</w:t>
      </w:r>
      <w:proofErr w:type="gramEnd"/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 2».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Прошедший 2015/2016 учебный год окончили 4066 обучающихся общеобразовательных организаций. На отлично закончили год 509 учащихся,  на «4» и «5» - 1440 . Процент качества составил 47,9%. (первый класс не оценивается). </w:t>
      </w:r>
    </w:p>
    <w:p w:rsidR="00AC6B09" w:rsidRPr="00DB727E" w:rsidRDefault="00AC6B09" w:rsidP="00AC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Ключевой фигурой в образовательном процессе является учитель, поэтому политика обеспечения качества образования начинается с формирования учительского корпуса. 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Обеспеченность педагогическими кадрами в целом составила 100%. В 2015/2016 учебном году число педагогических работников системы общего образования составило  597 чел., из них: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392 педагогических работников школ, 369  из которых учителя, 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166 </w:t>
      </w:r>
      <w:r w:rsidRPr="00DB727E">
        <w:rPr>
          <w:rFonts w:ascii="Times New Roman" w:eastAsia="Calibri" w:hAnsi="Times New Roman" w:cs="Times New Roman"/>
          <w:bCs/>
          <w:sz w:val="28"/>
          <w:szCs w:val="28"/>
        </w:rPr>
        <w:t>педагогов дошкольного образования,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bCs/>
          <w:sz w:val="28"/>
          <w:szCs w:val="28"/>
        </w:rPr>
        <w:t xml:space="preserve">39 педагогов дополнительного образования 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В целом кадровый состав сохраняет  достаточно высокий уровень профессионализма и  ответственности  за  результаты  своего  труда, умеющие  творчески работать, используют традиционные и инновационные педагогические технологии.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Большую роль в профессиональном развитии педагогов играет аттестация. 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За 2015-2016 учебный год  была организована аттестация  122 педагогов района: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- в школах аттестовались - 86 педагогов, 45 из которых на высшую категорию и 41 – на первую;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- в ДОУ аттестовались 25 педагогов: 1 – на  высшую, 24 – на первую;</w:t>
      </w:r>
      <w:proofErr w:type="gramEnd"/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- в ЦДТ аттестовались 11 педагогов: 5 – на высшую, 6 – на первую.</w:t>
      </w:r>
      <w:proofErr w:type="gramEnd"/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Процедура аттестация положила начало новой форме распространения опыта работы - это аттестационные площадки. Количество аттестационных площадок, организованных на базе аттестующихся за 2015-2016 учебный год - 4, а количество принявших участие в работе площадок - 46 человек. </w:t>
      </w:r>
    </w:p>
    <w:p w:rsidR="00E04BCC" w:rsidRPr="00DB727E" w:rsidRDefault="00A51A29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04BCC" w:rsidRPr="00DB727E">
        <w:rPr>
          <w:rFonts w:ascii="Times New Roman" w:eastAsia="Calibri" w:hAnsi="Times New Roman" w:cs="Times New Roman"/>
          <w:sz w:val="28"/>
          <w:szCs w:val="28"/>
        </w:rPr>
        <w:t xml:space="preserve">а курсах повышения квалификации и переподготовки обучался  186 педагог. 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Повышение профессионально-педагогической компетентности работников образования осуществлялось  и на учебно-практических семинарах, организуемых районным методическим кабинетом, их было проведено 14: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В 2016 учебном году состоялись выездные заседания  клуба «Жирновский пеликан» (мастер-классы) на базе Медведицкого филиала МКОУ «Нижнедобринская СШ» и на базе МКОУ «Тетеревятская ОШ».</w:t>
      </w:r>
      <w:r w:rsidRPr="00DB727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Профессиональные конкурсы — это не только серьёзные творческие испытания для лучших педагогов - это смотр педагогического таланта. Районный конкурс молодых педагогов «Молодой учитель года-2016» был организован  в районе в апреле 2016 года впервые.  В конкурсе принимали участие 6 педагогов. По итогам конкурса победителем стала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</w:rPr>
        <w:t>Ширшикова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Екатерина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</w:rPr>
        <w:t>Рахматовна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учитель биологии МКОУ «Медведицкая СШ». 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С 23 марта по 25 марта  в Волгограде состоялся образовательный форум «Образование- 2016». 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В образовательном форуме приняло участие 177 образовательных организаций Волгоградской области. В качестве продукта инновационной образовательной деятельности МКОУ «Медведицкая СШ» представлена модель индивидуализации образования «Интеграция урочной и внеурочной деятельности как ресурс обеспечения качества образования в условиях  реализации ФГОС».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 итоге МКОУ «Медведицкая СШ» Жирновского муниципального района Волгоградской области заняла второе место в номинации «Инновационные практики индивидуализации образования в условиях реализации ФГОС» в рамках </w:t>
      </w:r>
      <w:r w:rsidRPr="00DB727E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выставки «Образование - 2016» Волгоградского областного образовательного форума. </w:t>
      </w:r>
    </w:p>
    <w:p w:rsidR="00E04BCC" w:rsidRPr="00DB727E" w:rsidRDefault="00E04BCC" w:rsidP="00E04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Стали победителями конкурсного отбора молодых учителей образовательных организаций Волгоградской области, реализующих основные общеобразовательные программы, на получение денежного поощрения за высокое педагогическое мастерство в 2016 году (по 50 тыс. руб.):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Давыденко Наталья Владимировна, учитель физической культуры МКОУ «СШ с углубленным изучением отдельных предметов г.Жирновска»,</w:t>
      </w:r>
    </w:p>
    <w:p w:rsidR="00E04BCC" w:rsidRPr="00DB727E" w:rsidRDefault="00E04BCC" w:rsidP="00E0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Карижская Ксения Владимировна, учитель географии МКОУ «СШ № 1 г.Жирновска».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Работа с одарёнными детьми включена в планы работы всех школ района.  А таких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нам много.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Именную стипендию Волгоградской области получали в 2015/2016 учебном году  Кривошеина Арина из МКОУ «СШ № 1 г. Жирновска» и Бережная Ангелина из МКОУ «Красноярская СШ № 2». </w:t>
      </w:r>
    </w:p>
    <w:p w:rsidR="00E04BCC" w:rsidRPr="00DB727E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Персональная стипендия главы  Жирновского муниципального района была назначена  </w:t>
      </w:r>
      <w:r w:rsidRPr="00DB72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, достигшим больших результатов в обучении и творчестве: Третьякову Никите из МКОУ «СШ № 1 г.Жирновска», Гризель Виктории и Курбанниязовой Ангелине из МКОУ «СШ с углубленным изучением отдельных предметов г.Жирновска», Невежиной Юлии из МКОУ «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Красноярская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СШ № 2», воспитанникам Жирновского ЦДТ -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Онтиковой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Валерии,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Локтионовой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Диане,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Просветиной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Анастасии. </w:t>
      </w:r>
    </w:p>
    <w:p w:rsidR="00E04BCC" w:rsidRPr="00E04BCC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CC">
        <w:rPr>
          <w:rFonts w:ascii="Times New Roman" w:eastAsia="Calibri" w:hAnsi="Times New Roman" w:cs="Times New Roman"/>
          <w:sz w:val="28"/>
          <w:szCs w:val="28"/>
        </w:rPr>
        <w:t>Кузницей талантов является всероссийская олимпиада школьников</w:t>
      </w:r>
    </w:p>
    <w:p w:rsidR="00E04BCC" w:rsidRPr="00E04BCC" w:rsidRDefault="00E04BCC" w:rsidP="00E04BCC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334"/>
        <w:gridCol w:w="3740"/>
      </w:tblGrid>
      <w:tr w:rsidR="00E04BCC" w:rsidRPr="00E04BCC" w:rsidTr="00CA4A5F">
        <w:tc>
          <w:tcPr>
            <w:tcW w:w="2518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2014-2015 учебный год</w:t>
            </w:r>
          </w:p>
        </w:tc>
        <w:tc>
          <w:tcPr>
            <w:tcW w:w="3827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2015/2016 учебный год</w:t>
            </w:r>
          </w:p>
        </w:tc>
      </w:tr>
      <w:tr w:rsidR="00E04BCC" w:rsidRPr="00E04BCC" w:rsidTr="00CA4A5F">
        <w:tc>
          <w:tcPr>
            <w:tcW w:w="2518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В школьном этапе</w:t>
            </w:r>
          </w:p>
        </w:tc>
        <w:tc>
          <w:tcPr>
            <w:tcW w:w="3402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школьном этапе участвовало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1402 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обучающихся, из них победителями и призерами стали: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1320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обучающихся.</w:t>
            </w:r>
            <w:proofErr w:type="gramEnd"/>
          </w:p>
        </w:tc>
        <w:tc>
          <w:tcPr>
            <w:tcW w:w="3827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школьном этапе участвовало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2089 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обучающихся, из них победителями и призерами стали: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1284 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04BCC" w:rsidRPr="00E04BCC" w:rsidTr="00CA4A5F">
        <w:tc>
          <w:tcPr>
            <w:tcW w:w="2518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В муниципальном этапе</w:t>
            </w:r>
          </w:p>
        </w:tc>
        <w:tc>
          <w:tcPr>
            <w:tcW w:w="3402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В муниципальном этапе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всероссийской олимпиады  приняли участие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374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человека, победителями и призерами стали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126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человек.  </w:t>
            </w:r>
          </w:p>
        </w:tc>
        <w:tc>
          <w:tcPr>
            <w:tcW w:w="3827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В муниципальном этапе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всероссийской олимпиады  приняли участие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773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человека, победителями и призерами стали: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115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человек</w:t>
            </w:r>
          </w:p>
        </w:tc>
      </w:tr>
      <w:tr w:rsidR="00E04BCC" w:rsidRPr="00E04BCC" w:rsidTr="00CA4A5F">
        <w:tc>
          <w:tcPr>
            <w:tcW w:w="2518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В региональном этапе</w:t>
            </w:r>
          </w:p>
        </w:tc>
        <w:tc>
          <w:tcPr>
            <w:tcW w:w="3402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>В региональном этапе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всероссийской олимпиады  приняли участие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21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человек, победителями и призерами стали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человек.  </w:t>
            </w:r>
          </w:p>
        </w:tc>
        <w:tc>
          <w:tcPr>
            <w:tcW w:w="3827" w:type="dxa"/>
          </w:tcPr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 областной олимпиаде честь Жирновского муниципального района  защищали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29 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обучающихся,  победителями и призерами  стали </w:t>
            </w:r>
            <w:r w:rsidRPr="00E04B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11</w:t>
            </w:r>
            <w:r w:rsidRPr="00E04B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человек.                                                         </w:t>
            </w:r>
          </w:p>
          <w:p w:rsidR="00E04BCC" w:rsidRPr="00E04BCC" w:rsidRDefault="00E04BCC" w:rsidP="00E04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834D8" w:rsidRDefault="000834D8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BCC" w:rsidRPr="00E04BCC" w:rsidRDefault="00E04BCC" w:rsidP="00E04B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CC">
        <w:rPr>
          <w:rFonts w:ascii="Times New Roman" w:eastAsia="Calibri" w:hAnsi="Times New Roman" w:cs="Times New Roman"/>
          <w:sz w:val="28"/>
          <w:szCs w:val="28"/>
        </w:rPr>
        <w:t>Видно, что количество обучающихся принимающих участие в различных этапах всероссийской олимпиады  растет из года в год и  доля победителей и призеров регионального этапа остается стабильной около 40%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F1A" w:rsidRPr="00DB727E" w:rsidRDefault="00743F1A" w:rsidP="0074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       На региональном этапе честь Жирновского муниципального района  защищали 29 обучающихся,  победителями и призерами  стали 11 человек:  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победители: по технологии -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Курбанниязова Ангелина,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</w:rPr>
        <w:t>Немухина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Татьяна из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 СШ с углубленным изучением отдельных предметов г. Жирновска», 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- </w:t>
      </w:r>
      <w:r w:rsidRPr="00DB727E">
        <w:rPr>
          <w:rFonts w:ascii="Times New Roman" w:eastAsia="Calibri" w:hAnsi="Times New Roman" w:cs="Times New Roman"/>
          <w:sz w:val="28"/>
          <w:szCs w:val="28"/>
        </w:rPr>
        <w:t>Беляев Илья из</w:t>
      </w:r>
      <w:r w:rsidRPr="00DB7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МКОУ «СШ №1 г.Жирновска»;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призеры - 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экологии - 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Гризель Виктория из МКОУ «СШ с углубленным изучением отдельных предметов г. Жирновска», по истории - </w:t>
      </w:r>
      <w:proofErr w:type="spellStart"/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Высотский</w:t>
      </w:r>
      <w:proofErr w:type="spellEnd"/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Алексей из МКОУ «Кленовская СШ»,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технологии - </w:t>
      </w:r>
      <w:r w:rsidRPr="00DB727E">
        <w:rPr>
          <w:rFonts w:ascii="Times New Roman" w:eastAsia="Calibri" w:hAnsi="Times New Roman" w:cs="Times New Roman"/>
          <w:sz w:val="28"/>
          <w:szCs w:val="28"/>
        </w:rPr>
        <w:t>Рогожина Анна, Курбанниязова Диана</w:t>
      </w:r>
      <w:r w:rsidRPr="00DB7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727E">
        <w:rPr>
          <w:rFonts w:ascii="Times New Roman" w:eastAsia="Calibri" w:hAnsi="Times New Roman" w:cs="Times New Roman"/>
          <w:sz w:val="28"/>
          <w:szCs w:val="28"/>
        </w:rPr>
        <w:t>из</w:t>
      </w:r>
      <w:r w:rsidRPr="00DB7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727E">
        <w:rPr>
          <w:rFonts w:ascii="Times New Roman" w:eastAsia="Calibri" w:hAnsi="Times New Roman" w:cs="Times New Roman"/>
          <w:sz w:val="28"/>
          <w:szCs w:val="28"/>
        </w:rPr>
        <w:t>МКОУ</w:t>
      </w:r>
      <w:r w:rsidRPr="00DB727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СШ с углубленным изучением отдельных предметов г.Жирновска», по экономике - Третьяков Никита  из МКОУ «СШ №1 г.Жирновска», по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-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Жеглова Наталья  из МКОУ «Кленовская СОШ», Дьячков Семён  из МКОУ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«СШ №1 г.Жирновска»,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</w:rPr>
        <w:t>Серухин</w:t>
      </w:r>
      <w:proofErr w:type="spell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Ярослав из МКОУ «СШ с углубленным изучением отдельных предметов г.Жирновска».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F1A" w:rsidRPr="00DB727E" w:rsidRDefault="00743F1A" w:rsidP="00743F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        В период с 09 апреля по 15 апреля 2016 года в г. Ульяновске  проводился  заключительный этап всероссийской олимпиады школьников по физической культуре, где честь Жирновского муниципального района   защищал ученик МКОУ «СШ №1 г.Жирновска» Беляев Илья, который стал призером всероссийской олимпиады школьников в России.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Победы детей мы видим не  только в учебе, но и в спорте.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 2016 году состоялось 40 районных соревнований, в которых приняли 12 образовательных организаций и их филиалы. 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Сборные команды района участвовали в зональных и финальных соревнованиях </w:t>
      </w:r>
      <w:r w:rsidRPr="00DB727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727E">
        <w:rPr>
          <w:rFonts w:ascii="Times New Roman" w:eastAsia="Calibri" w:hAnsi="Times New Roman" w:cs="Times New Roman"/>
          <w:sz w:val="28"/>
          <w:szCs w:val="28"/>
        </w:rPr>
        <w:t>X</w:t>
      </w:r>
      <w:r w:rsidRPr="00DB727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областной Спартакиады  по 12 видам из 19: в зональных состязаниях сборная команда района по лёгкой атлетике – </w:t>
      </w:r>
      <w:r w:rsidRPr="00DB727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место, команда 7 класса МКОУ «СШ с углубленным изучением отдельных предметов г.Жирновска» в «Президентских состязаниях» - 1 место, команда МКОУ «Красноярская СОШ №1им. В.В. Гусева» по «Президентским спортивным играм» - </w:t>
      </w:r>
      <w:r w:rsidRPr="00DB727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место, команда МОУ «Красноярская СШ №1им. В.В. Гусева» по 4-хборью «Шиповка юных» - 2 место,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>борная команда по волейболу – 2 место; сборная команда по мини-футболу- 3 место. В итоге район занял 15 место.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А в 27-й районной Спартакиаде школьников 1 место среди городских команд  у МКОУ «СШ № 1 г.Жирновска», среди сельских – у МКОУ «Медведицкая СШ».</w:t>
      </w:r>
      <w:proofErr w:type="gramEnd"/>
    </w:p>
    <w:p w:rsidR="00743F1A" w:rsidRPr="00DB727E" w:rsidRDefault="00743F1A" w:rsidP="00743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      Во Всероссийской акции «Я выбираю спорт, как альтернативу пагубным привычкам» </w:t>
      </w:r>
      <w:r w:rsidRPr="00DB72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приняли участие педагоги и обучающиеся 12 школ района,  10 дошкольных образовательных учреждения и 2 ЦДТ (всего 6645 человек). Призером  на региональном уровне в номинации «Физкультурно-оздоровительные технологии» стал Лемешкин И.И., педагог МКОУ «Александровская СШ». </w:t>
      </w:r>
    </w:p>
    <w:p w:rsidR="00743F1A" w:rsidRPr="00DB727E" w:rsidRDefault="00743F1A" w:rsidP="00743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       В региональном конкурсе «Учитель здоровья» стали призерами Давыденко В.П. МКОУ «Медведицкая СШ», Любименко Е.М. МКОУ «Красноярская СШ № 1».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Наши учащиеся участвовали во многих конкурсах, фестивалях, концертах, форумах. И конечно, огромная заслуга в этом наших центров детского творчества. 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 нашем районе работают, имея свои традиции 3 ЦДТ, где  успешно занимаются и развиваются 3647 детей. Развитие творческих способностей осуществляется в 128 детском объединении по пяти направлениям. 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Линёвский ЦДТ</w:t>
      </w:r>
      <w:r w:rsidRPr="00DB7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за 2015-2016 учебный год организовал и провел 52-е районные соревнования по туризму среди школьников, 27-е районные соревнования по туризму среди учителей, 7-ой  слёт представителей лучших музеев образовательных учреждений Жирновского муниципального района, </w:t>
      </w:r>
      <w:r w:rsidRPr="00DB727E">
        <w:rPr>
          <w:rFonts w:ascii="Times New Roman" w:eastAsia="Calibri" w:hAnsi="Times New Roman" w:cs="Times New Roman"/>
          <w:sz w:val="28"/>
          <w:szCs w:val="28"/>
        </w:rPr>
        <w:lastRenderedPageBreak/>
        <w:t>районную матчевую встречу по туризму среди школьников Поход выходного дня (однодневный) Водный поход по р. Медведица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В Красноярском ЦДТ проходят много массовых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таких как День открытых дверей, запуск воздушных змеев, Новый год, Масленица, День защиты детей.  1 июня проходит большой праздник с участием школ, детских садов поселка. Для детей готовится театрализованное представление с участием сказочных героев, большой концерт с участием воспитанников центра детского творчества, детских садов. Проходят увлекательные соревнования, турниры.  Для всех детей сладкие призы.  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>Жирновский ЦДТ является участником практически всех районных праздников. Без них не обходится ни одно значимое мероприятие. Вот лишь некоторые из них.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Межмуниципальный фестиваль юных вокалистов «Рождественские звездочки» уже 18 лет позволяет проводить яркий праздник и выявлять юные </w:t>
      </w:r>
      <w:proofErr w:type="spellStart"/>
      <w:r w:rsidRPr="00DB727E">
        <w:rPr>
          <w:rFonts w:ascii="Times New Roman" w:eastAsia="Calibri" w:hAnsi="Times New Roman" w:cs="Times New Roman"/>
          <w:sz w:val="28"/>
          <w:szCs w:val="28"/>
        </w:rPr>
        <w:t>дарования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.</w:t>
      </w:r>
      <w:r w:rsidRPr="00DB727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B72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финале конкурса в этом году приняли участие 60 юных вокалистов и 65 артистов из творческих коллективов Жирновского ЦДТ. Конкурс провели воспитанники студии актерского мастерства «Премьера», руководитель Сорокина Г.Э.В конкурсе приняли участие школьники из </w:t>
      </w:r>
      <w:proofErr w:type="spellStart"/>
      <w:r w:rsidRPr="00DB727E">
        <w:rPr>
          <w:rFonts w:ascii="Times New Roman" w:eastAsia="Calibri" w:hAnsi="Times New Roman" w:cs="Times New Roman"/>
          <w:color w:val="000000"/>
          <w:sz w:val="28"/>
          <w:szCs w:val="28"/>
        </w:rPr>
        <w:t>Жирновских</w:t>
      </w:r>
      <w:proofErr w:type="spellEnd"/>
      <w:r w:rsidRPr="00DB72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школ, школ Красного Яра, Линево, </w:t>
      </w:r>
      <w:proofErr w:type="spellStart"/>
      <w:r w:rsidRPr="00DB727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DB727E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Pr="00DB727E">
        <w:rPr>
          <w:rFonts w:ascii="Times New Roman" w:eastAsia="Calibri" w:hAnsi="Times New Roman" w:cs="Times New Roman"/>
          <w:color w:val="000000"/>
          <w:sz w:val="28"/>
          <w:szCs w:val="28"/>
        </w:rPr>
        <w:t>овинки</w:t>
      </w:r>
      <w:proofErr w:type="spellEnd"/>
      <w:r w:rsidRPr="00DB72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Нижней Добринки, Жирновского и Красноярского ЦДТ, РДК, школы искусств. </w:t>
      </w:r>
    </w:p>
    <w:p w:rsidR="00743F1A" w:rsidRPr="00DB727E" w:rsidRDefault="00743F1A" w:rsidP="00743F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Социальная акция «Спасибо деду за Победу!» традиционная акция, проводится учащимися «Премьеры» в городском парке 9 мая. Создание атмосферы праздника Победы через костюмированное сопровождение выставки автомобилей военной поры с последующей поездкой по улицам города и поздравлением горожан, </w:t>
      </w:r>
      <w:proofErr w:type="gramStart"/>
      <w:r w:rsidRPr="00DB727E">
        <w:rPr>
          <w:rFonts w:ascii="Times New Roman" w:eastAsia="Calibri" w:hAnsi="Times New Roman" w:cs="Times New Roman"/>
          <w:sz w:val="28"/>
          <w:szCs w:val="28"/>
        </w:rPr>
        <w:t>завершающаяся</w:t>
      </w:r>
      <w:proofErr w:type="gramEnd"/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тематической фотосессией в природных условиях.</w:t>
      </w:r>
    </w:p>
    <w:p w:rsidR="00743F1A" w:rsidRPr="00DB727E" w:rsidRDefault="00743F1A" w:rsidP="0074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Воспитанники МОУ ДОД «Жирновский ЦДТ» показали свое мастерство на конкурсах различного уровня. Студия</w:t>
      </w:r>
      <w:r w:rsidRPr="00DB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актерского мастерства «Премьера»</w:t>
      </w:r>
      <w:r w:rsidRPr="00DB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актерского мастерства «НЭП»</w:t>
      </w:r>
      <w:r w:rsidRPr="00DB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Pr="00DB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лауреатами 1 степени творческих коллективов «Наш Сталинград».</w:t>
      </w:r>
      <w:r w:rsidRPr="00DB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ансамбля «Акварель»</w:t>
      </w:r>
      <w:r w:rsidRPr="00DB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лауреаты 1 степени детской эстрадной песни «Маленькие звездочки», средняя группа ансамбля «Акварель» </w:t>
      </w:r>
      <w:r w:rsidRPr="00DB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2 степени  конкурса «Московское время».</w:t>
      </w:r>
    </w:p>
    <w:p w:rsidR="00743F1A" w:rsidRPr="00DB727E" w:rsidRDefault="00743F1A" w:rsidP="00743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27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районе проводятся традиционные мероприятия: 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Созвездие талантов», 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За честь Жирновского района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Земля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 дом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Диво дивное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Радуга успехов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>, др.</w:t>
      </w:r>
      <w:r w:rsidR="00A51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Никого не оставил равнодушным Первый</w:t>
      </w:r>
      <w:r w:rsidRPr="00DB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бал выпускников.</w:t>
      </w: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43F1A" w:rsidRPr="00DB727E" w:rsidRDefault="00743F1A" w:rsidP="00743F1A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27E">
        <w:rPr>
          <w:rFonts w:ascii="Times New Roman" w:hAnsi="Times New Roman" w:cs="Times New Roman"/>
          <w:sz w:val="28"/>
          <w:szCs w:val="28"/>
        </w:rPr>
        <w:t xml:space="preserve">         На сегодняшний день ключевыми направлениями образовательных организаций являются: поддержка одаренных детей, духовно-нравственное, гражданско-патриотическое воспитание, профориентационная, спортивно-оздоровительная, художественно-эстетическая деятельность.</w:t>
      </w:r>
    </w:p>
    <w:p w:rsidR="00743F1A" w:rsidRPr="00DB727E" w:rsidRDefault="00743F1A" w:rsidP="00A51A2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04BCC" w:rsidRDefault="00E04BCC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1E7" w:rsidRDefault="005F51E7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1E7" w:rsidRDefault="005F51E7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1E7" w:rsidRDefault="005F51E7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1E7" w:rsidRDefault="005F51E7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1E7" w:rsidRDefault="005F51E7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1E7" w:rsidRPr="005F51E7" w:rsidRDefault="005F51E7" w:rsidP="005F5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</w:t>
      </w:r>
    </w:p>
    <w:p w:rsidR="005F51E7" w:rsidRPr="005F51E7" w:rsidRDefault="005F51E7" w:rsidP="005F51E7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системы образования</w:t>
      </w:r>
    </w:p>
    <w:p w:rsidR="005F51E7" w:rsidRPr="005F51E7" w:rsidRDefault="005F51E7" w:rsidP="005F51E7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Жирновского муниципального района за 2015/2016 учебный год</w:t>
      </w:r>
    </w:p>
    <w:p w:rsidR="005F51E7" w:rsidRPr="005F51E7" w:rsidRDefault="005F51E7" w:rsidP="005F51E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1277"/>
        <w:gridCol w:w="1379"/>
      </w:tblGrid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Раздел/подраздел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/показатель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(с расчетом)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на 01.10.2016</w:t>
            </w:r>
          </w:p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Общее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Сведения о развитии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1.1. Уровень доступности дошкольного образования и численность населения, получающего дошкольное образование: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Численность воспитанников организаций дошкольного образования в расчете на 1 педагогического работника.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1.4.1. Площадь помещений, используемых непосредственно для нужд дошкольных образовательных организаций, в расчете на одного воспитанника.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Удельный вес числа организаций, имеющих водоснабжение, центральное отопление, канализацию, в общем числе дошкольных образовательных организаций: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отопление;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1.4.4. Удельный вес числа организаций, имеющих закрытые плавательные бассейны, в общем числе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1.4.5. Число персональных компьютеров, доступных для использования детьми, в расчете на 100 воспитанников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1.5.1. Удельный вес численности детей с ограниченными возможностями здоровья в общей численности воспитанников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1.5.2. Удельный вес численности детей-инвалидов в общей численности воспитанников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1.6.1. Пропущено дней по болезни одним ребенком в дошкольной образовательной организации в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1.7.1. Темп роста числа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1.8.1. Общий объем финансовых средств, поступивших в дошкольные образовательные организации, в расчете на одного воспитанника.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1.8.2. Удельный вес финансовых средств от приносящей доход деятельности в общем объеме финансовых средств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1.9.1. Удельный вес числа организаций, здания которых находятся в аварийном состоянии, в общем числе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1.9.2. Удельный вес числа организаций, здания которых требуют капитального ремонта, в общем числе дошкольных 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  <w:hyperlink r:id="rId8" w:anchor="10001#10001" w:history="1">
              <w:r w:rsidRPr="005F51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*(1)</w:t>
              </w:r>
            </w:hyperlink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Удельный вес численности лиц, занимающихся во вторую или третью смены, в общей численности учащихся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Удельный вес численности лиц, углубленно изучающих отдельные предметы, в общей численности учащихся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Численность учащихся в общеобразовательных организациях в расчете на 1 педагогического работника.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2.3.2. Удельный вес численности учителей в возрасте до 35 лет в общей численности учителей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 - всего;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учителей.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Общая площадь всех помещений общеобразовательных организаций в расчете на одного учащегося.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Удельный вес числа организаций, имеющих водопровод, центральное отопление, канализацию, в общем числе общеобразовательных организаций: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отопление;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2.4.3. Число персональных компьютеров, используемых в учебных целях, в расчете на 100 учащихся общеобразовательных организаций: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к Интернету.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0,13%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2.6.1. Отношение среднего балла единого государственного экзамена (далее - ЕГЭ) (в расчете на 1 предмет) в 10% </w:t>
            </w: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2.6.2. Среднее значение количества баллов по ЕГЭ, полученных выпускниками, освоившими образовательные программы среднего общего образования: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математике;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математике;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математике;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математике;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Удельный вес лиц, обеспеченных горячим питанием, в общей численности обучающихся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Удельный вес числа организаций, имеющих логопедический пункт или логопедический кабинет,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Удельный вес числа организаций, имеющих физкультурные залы,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Удельный вес числа организаций, имеющих плавательные бассейны,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Темп роста числа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Общий объем финансовых средств, поступивших в общеобразовательные организации, в расчете на одного учащегося.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ысяча рублей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2.9.2. Удельный вес финансовых средств от приносящей доход деятельности в общем объеме финансовых средств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2.10.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2.10.1. Удельный вес числа организаций, имеющих пожарные краны и рукава,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2.10.3. Удельный вес числа организаций, имеющих “тревожную кнопку”,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2.10.4. Удельный вес числа организаций, имеющих охрану,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2.10.5. Удельный вес числа организаций, имеющих систему видеонаблюдения,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2.10.6. Удельный вес числа организаций, здания которых находятся в аварийном состоянии,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2.10.7. Удельный вес числа организаций, здания которых требуют капитального ремонта, в общем числе общеобразовательных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Сведения о развитии дополнительного образования детей и взрослых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Численность населения, обучающегося по дополнительным общеобразовательным программам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Содержание образовательной деятельности и организация образовательного процесса по дополнительным </w:t>
            </w: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общеобразовательным программам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5.4.1. Общая площадь всех помещений организаций дополнительного образования в расчете на одного обучающегося.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отопление;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5.4.3. Число персональных компьютеров, используемых в учебных целях, в расчете на 100 обучающихся организаций дополнительного образования: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к Интернету.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5.5.1. Темп роста числа образовательных организаций дополнительного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5.6.1. Общий объем финансовых средств, поступивших в образовательные организации дополнительного образования, в </w:t>
            </w: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расчете на одного обучающегося.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тысяча</w:t>
            </w:r>
          </w:p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5.7.1. Удельный вес числа организаций, имеющих филиалы, в общем числе образовательных организаций дополнительного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5.8.1. Удельный вес числа организаций, имеющих пожарные краны и рукава, в общем числе образовательных организаций дополнительного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5.8.2. Удельный вес числа организаций, имеющих дымовые </w:t>
            </w:r>
            <w:proofErr w:type="spell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общем числе образовательных организаций дополнительного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5.9. Учебные и </w:t>
            </w:r>
            <w:proofErr w:type="spell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hyperlink r:id="rId9" w:anchor="10001#10001" w:history="1">
              <w:r w:rsidRPr="005F51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*(1)</w:t>
              </w:r>
            </w:hyperlink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развитие таланта и способностей обучающихся;</w:t>
            </w:r>
            <w:hyperlink r:id="rId10" w:anchor="10001#10001" w:history="1">
              <w:r w:rsidRPr="005F51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*(1)</w:t>
              </w:r>
            </w:hyperlink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hyperlink r:id="rId11" w:anchor="10001#10001" w:history="1">
              <w:r w:rsidRPr="005F51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*(1)</w:t>
              </w:r>
            </w:hyperlink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1E7" w:rsidRPr="005F51E7" w:rsidTr="005F51E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знаний в рамках школьной программы </w:t>
            </w:r>
            <w:proofErr w:type="gramStart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12" w:anchor="10001#10001" w:history="1">
              <w:r w:rsidRPr="005F51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*(1)</w:t>
              </w:r>
            </w:hyperlink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7" w:rsidRPr="005F51E7" w:rsidRDefault="005F51E7" w:rsidP="005F5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1E7" w:rsidRPr="000834D8" w:rsidRDefault="005F51E7" w:rsidP="0008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1E7" w:rsidRPr="000834D8" w:rsidSect="007E040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C7"/>
    <w:rsid w:val="000834D8"/>
    <w:rsid w:val="000D1BFE"/>
    <w:rsid w:val="003C4BC7"/>
    <w:rsid w:val="005F51E7"/>
    <w:rsid w:val="00743F1A"/>
    <w:rsid w:val="007E040B"/>
    <w:rsid w:val="00881A9E"/>
    <w:rsid w:val="00A51A29"/>
    <w:rsid w:val="00AC6B09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A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0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8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A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0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8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110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www.garant.ru/products/ipo/prime/doc/705110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garant.ru/products/ipo/prime/doc/7051102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arant.ru/products/ipo/prime/doc/70511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11024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NO\AppData\Local\Temp\&#1050;&#1085;&#1080;&#1075;&#1072;1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Численность детей, поставленных на учет для определения места в ДОО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Лист1!$B$6:$H$6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Лист1!$B$7:$H$7</c:f>
              <c:numCache>
                <c:formatCode>General</c:formatCode>
                <c:ptCount val="7"/>
                <c:pt idx="0">
                  <c:v>791</c:v>
                </c:pt>
                <c:pt idx="1">
                  <c:v>831</c:v>
                </c:pt>
                <c:pt idx="2">
                  <c:v>653</c:v>
                </c:pt>
                <c:pt idx="3">
                  <c:v>530</c:v>
                </c:pt>
                <c:pt idx="4">
                  <c:v>518</c:v>
                </c:pt>
                <c:pt idx="5">
                  <c:v>505</c:v>
                </c:pt>
                <c:pt idx="6">
                  <c:v>489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8647936"/>
        <c:axId val="30335744"/>
      </c:barChart>
      <c:catAx>
        <c:axId val="10864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335744"/>
        <c:crosses val="autoZero"/>
        <c:auto val="1"/>
        <c:lblAlgn val="ctr"/>
        <c:lblOffset val="100"/>
        <c:noMultiLvlLbl val="0"/>
      </c:catAx>
      <c:valAx>
        <c:axId val="30335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8647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Район 2016</c:v>
          </c:tx>
          <c:spPr>
            <a:solidFill>
              <a:srgbClr val="0070C0"/>
            </a:solidFill>
          </c:spPr>
          <c:invertIfNegative val="0"/>
          <c:cat>
            <c:strRef>
              <c:f>Лист4!$A$3:$A$13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Лист4!$J$3:$J$13</c:f>
              <c:numCache>
                <c:formatCode>General</c:formatCode>
                <c:ptCount val="11"/>
                <c:pt idx="0">
                  <c:v>64</c:v>
                </c:pt>
                <c:pt idx="1">
                  <c:v>41.8</c:v>
                </c:pt>
                <c:pt idx="2">
                  <c:v>49.5</c:v>
                </c:pt>
                <c:pt idx="3">
                  <c:v>52.4</c:v>
                </c:pt>
                <c:pt idx="4">
                  <c:v>37.800000000000004</c:v>
                </c:pt>
                <c:pt idx="5">
                  <c:v>45</c:v>
                </c:pt>
                <c:pt idx="6">
                  <c:v>51.6</c:v>
                </c:pt>
                <c:pt idx="7">
                  <c:v>61</c:v>
                </c:pt>
                <c:pt idx="8">
                  <c:v>55.7</c:v>
                </c:pt>
                <c:pt idx="9">
                  <c:v>47.9</c:v>
                </c:pt>
                <c:pt idx="10">
                  <c:v>62</c:v>
                </c:pt>
              </c:numCache>
            </c:numRef>
          </c:val>
        </c:ser>
        <c:ser>
          <c:idx val="0"/>
          <c:order val="1"/>
          <c:tx>
            <c:v>Область 2016</c:v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Лист4!$A$3:$A$13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Лист4!$I$3:$I$13</c:f>
              <c:numCache>
                <c:formatCode>General</c:formatCode>
                <c:ptCount val="11"/>
                <c:pt idx="0">
                  <c:v>66.2</c:v>
                </c:pt>
                <c:pt idx="1">
                  <c:v>42.4</c:v>
                </c:pt>
                <c:pt idx="2">
                  <c:v>48.6</c:v>
                </c:pt>
                <c:pt idx="3">
                  <c:v>51.3</c:v>
                </c:pt>
                <c:pt idx="4">
                  <c:v>43.8</c:v>
                </c:pt>
                <c:pt idx="5">
                  <c:v>47.1</c:v>
                </c:pt>
                <c:pt idx="6">
                  <c:v>44.1</c:v>
                </c:pt>
                <c:pt idx="7">
                  <c:v>46</c:v>
                </c:pt>
                <c:pt idx="8">
                  <c:v>66.3</c:v>
                </c:pt>
                <c:pt idx="9">
                  <c:v>51.8</c:v>
                </c:pt>
                <c:pt idx="10">
                  <c:v>53.1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50720"/>
        <c:axId val="30372992"/>
      </c:barChart>
      <c:catAx>
        <c:axId val="3035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372992"/>
        <c:crosses val="autoZero"/>
        <c:auto val="1"/>
        <c:lblAlgn val="ctr"/>
        <c:lblOffset val="100"/>
        <c:noMultiLvlLbl val="0"/>
      </c:catAx>
      <c:valAx>
        <c:axId val="3037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50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7</cp:revision>
  <cp:lastPrinted>2016-10-28T05:52:00Z</cp:lastPrinted>
  <dcterms:created xsi:type="dcterms:W3CDTF">2016-10-27T07:32:00Z</dcterms:created>
  <dcterms:modified xsi:type="dcterms:W3CDTF">2016-10-28T05:54:00Z</dcterms:modified>
</cp:coreProperties>
</file>