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Показатели мониторинга системы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Жирновского муниципального района в 2019/2020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2019/2020 году система образования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Жирновского муниципального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района включала в себя: 10 общеобразовательных учреждений и 10 филиалов; 8 дошкольных образовательных  организаций, 5 филиалов, 2 структурных подразделения и 2 группы кратковременного пребывания; 1 учреждение дополнительного образования.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C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общеобразовательных учреждениях района обучались 3838 человека, в дошкольных образовательных учреждениях - 1598 детей, а в учреждениях дополнительного образования 3304человек.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Охват дошкольным образованием составляет  61% 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территории Жирновского муниципального района 100%  доступность дошкольного образования. Свободные места есть во всех сельских садах и городских поселениях. </w:t>
      </w:r>
    </w:p>
    <w:p>
      <w:pPr>
        <w:pStyle w:val="Normal"/>
        <w:tabs>
          <w:tab w:val="clear" w:pos="708"/>
          <w:tab w:val="left" w:pos="-709" w:leader="none"/>
          <w:tab w:val="left" w:pos="567" w:leader="none"/>
        </w:tabs>
        <w:spacing w:lineRule="auto" w:line="240" w:before="0" w:after="0"/>
        <w:ind w:right="-14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В 2019/2020 учебном году число педагогических работников системы общего образования составило  497 чел., из них: 342 педагогических работников школ, 136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педагогов дошкольного образования, 19 педагог дополнительного образования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детей.</w:t>
      </w:r>
    </w:p>
    <w:p>
      <w:pPr>
        <w:pStyle w:val="Normal"/>
        <w:tabs>
          <w:tab w:val="clear" w:pos="708"/>
          <w:tab w:val="left" w:pos="-709" w:leader="none"/>
          <w:tab w:val="left" w:pos="284" w:leader="none"/>
        </w:tabs>
        <w:spacing w:lineRule="auto" w:line="240" w:before="0" w:after="0"/>
        <w:ind w:right="-144" w:firstLine="567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Квалификационный уровень педагогических работников: высшая квалификационная    категория – 124 педагогов (34,7%), первая квалификационная категория – 164 педагогов (32,7%), соответствие занимаемой должности – 155 педагогов (31%).</w:t>
      </w:r>
    </w:p>
    <w:p>
      <w:pPr>
        <w:pStyle w:val="Normal"/>
        <w:tabs>
          <w:tab w:val="clear" w:pos="708"/>
          <w:tab w:val="left" w:pos="-709" w:leader="none"/>
          <w:tab w:val="left" w:pos="284" w:leader="none"/>
        </w:tabs>
        <w:spacing w:lineRule="auto" w:line="240" w:before="0" w:after="0"/>
        <w:ind w:right="-144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Прошли курсы повышения квалификации– 355 педагогов.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этом учебном году работало 15 методических объединений.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Повышение профессионально-педагогической компетентности работников образования осуществлялось на учебно-практических семинарах, открытых методических объединениях, заседаниях клуба молодых педагогов и клуба «Жирновский пеликан», единых методических днях, круглых столах, мастер-классах.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2"/>
          <w:kern w:val="2"/>
          <w:sz w:val="24"/>
          <w:szCs w:val="24"/>
          <w:lang w:eastAsia="ru-RU"/>
        </w:rPr>
        <w:t>Кадровый состав специалистов системы образования Жирновского муниципального района сохраняет  высокий уровень профессионализма. Педагоги, умеющие  творчески работать, используют традиционные и инновационные педагогические технологии.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/>
          <w:spacing w:val="-2"/>
          <w:kern w:val="2"/>
          <w:sz w:val="24"/>
          <w:szCs w:val="24"/>
        </w:rPr>
      </w:pPr>
      <w:r>
        <w:rPr>
          <w:rFonts w:eastAsia="Calibri" w:ascii="Times New Roman" w:hAnsi="Times New Roman"/>
          <w:spacing w:val="-2"/>
          <w:kern w:val="2"/>
          <w:sz w:val="24"/>
          <w:szCs w:val="24"/>
        </w:rPr>
        <w:t xml:space="preserve">В районе с целью накопления и распространения позитивного педагогического опыта, методического сопровождения образовательных учреждений и педагогов работают в общеобразовательных организациях 17  муниципальных экспериментальных площадок и  6 региональные, в дошкольных образовательных учреждениях – 3 федеральные, 3 – региональные.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Calibri" w:ascii="Times New Roman" w:hAnsi="Times New Roman"/>
          <w:spacing w:val="-2"/>
          <w:kern w:val="2"/>
          <w:sz w:val="24"/>
          <w:szCs w:val="24"/>
        </w:rPr>
        <w:t>Успешно осуществляет свою деятельность  учреждение дополнительного образования «Жирновский центр детского творчества»</w:t>
      </w:r>
      <w:r>
        <w:rPr>
          <w:rFonts w:eastAsia="Calibri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Доля детей в возрасте от 5 до 18 лет, занимающихся по программам дополнительного образования, составляет 99,1 % от их общей численности. В кружках и секциях учреждений дополнительного образования создана комфортная и творческая образовательная среда.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Ключевыми направлениями образовательных организаций являются: поддержка одаренных детей, духовно-нравственное, гражданско-патриотическое воспитание, профориентационная, спортивно-оздоровительная, художественно-эстетическая деятельность.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Основные задачи, стоящие перед сферой образования Жирновского муниципального района:       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1) реализация государственной политики в сфере образования, в том числе в части выполнения указа Президента РФ от 07.05.2018 № 204 «О национальных целях и стратегических задачах развития Российской Федерации на период до 2024 года »;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2) обеспечение доступности качественного образования и воспитания детей независимо от места жительства;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3) создание условий для повышения качества предоставляемых услуг обучения и воспитания, включая реорганизацию сети образовательных учреждений района;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4) реализация ФГОС дошкольного, начального и основного общего и среднего общего образования во всех образовательных учреждениях района;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5) активизация работы  по предпрофильному обучению, в том числе  по профориентации;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6) повышение информационной открытости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tbl>
      <w:tblPr>
        <w:tblW w:w="9743" w:type="dxa"/>
        <w:jc w:val="left"/>
        <w:tblInd w:w="41" w:type="dxa"/>
        <w:tblCellMar>
          <w:top w:w="15" w:type="dxa"/>
          <w:left w:w="149" w:type="dxa"/>
          <w:bottom w:w="15" w:type="dxa"/>
          <w:right w:w="149" w:type="dxa"/>
        </w:tblCellMar>
        <w:tblLook w:firstRow="1" w:noVBand="1" w:lastRow="0" w:firstColumn="1" w:lastColumn="0" w:noHBand="0" w:val="04a0"/>
      </w:tblPr>
      <w:tblGrid>
        <w:gridCol w:w="365"/>
        <w:gridCol w:w="428"/>
        <w:gridCol w:w="140"/>
        <w:gridCol w:w="514"/>
        <w:gridCol w:w="300"/>
        <w:gridCol w:w="5645"/>
        <w:gridCol w:w="2350"/>
      </w:tblGrid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Раздел/подраздел/показатель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измерения/ форма оценки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</w:t>
              <w:br/>
              <w:t xml:space="preserve">* Наименование в редакции, введенной в действие с 12 декабря 2016 года </w:t>
            </w:r>
            <w:hyperlink r:id="rId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Общее образование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11,8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5,2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67,8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туберкулезной интоксикацией;****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часто болеющих;****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оздоровительной направленности, в том числе для воспитанников:****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туберкулезной интоксикацией;****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часто болеющих;****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95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других категорий, нуждающихся в длительном лечении и проведении специальных лечебно-оздоровительных мероприятий.****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599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группы комбинированной направленности.****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0,56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4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37,5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5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день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тысяча рублей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педагогических работников - всего;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в редакции, введенной в действие с 12 декабря 2016 года </w:t>
            </w:r>
            <w:hyperlink r:id="rId6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12,15</w:t>
            </w:r>
            <w:bookmarkStart w:id="0" w:name="_GoBack"/>
            <w:bookmarkEnd w:id="0"/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имеющих доступ к Интернету.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7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слуха: глухие, слабослышащие, позднооглохшие;****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тяжелыми нарушениями речи;****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зрения: слепые, слабовидящие;****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умственной отсталостью (интеллектуальными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задержкой психического развития;****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нарушениями опорно-двигательного аппарата;****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расстройствами аутистического спектра;****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 сложными дефектами (множественными нарушениями);****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645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 другими ограниченными возможностями здоровья.****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8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учителя-дефектологи;****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педагоги-психологи;****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100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учителя-логопеды;****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социальные педагоги;****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50</w:t>
            </w:r>
          </w:p>
        </w:tc>
      </w:tr>
      <w:tr>
        <w:trPr/>
        <w:tc>
          <w:tcPr>
            <w:tcW w:w="3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  <w:tc>
          <w:tcPr>
            <w:tcW w:w="7027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тьюторы.****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9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0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математике;*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45,8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русскому языку.*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67,9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1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балл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математике;*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русскому языку.*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в редакции, введенной в действие с 26 июля 2016 года </w:t>
            </w:r>
            <w:hyperlink r:id="rId12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29 июня 2016 года N 756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тысяча рублей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III. Дополнительное образование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3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программам.****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0,2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дополнительно включен с 4 апреля 2015 года </w:t>
            </w:r>
            <w:hyperlink r:id="rId14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2 марта 2015 года N 135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lang w:eastAsia="ru-RU"/>
              </w:rPr>
              <w:t>100</w:t>
            </w:r>
          </w:p>
        </w:tc>
      </w:tr>
      <w:tr>
        <w:trPr/>
        <w:tc>
          <w:tcPr>
            <w:tcW w:w="974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(Пункт в редакции, введенной в действие с 12 декабря 2016 года </w:t>
            </w:r>
            <w:hyperlink r:id="rId15">
              <w:r>
                <w:rPr>
                  <w:rFonts w:eastAsia="Times New Roman" w:cs="Times New Roman"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Минобрнауки России от 9 ноября 2016 года N 1399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  <w:br/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квадратный метр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водопровод: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имеющих доступ к Интернету.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тысяча рублей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12558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22,8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5.9. Учебные и внеучебные достижения лиц, обучающихся по программам дополнительного образования детей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приобретение актуальных знаний, умений, практических навыков обучающимися;*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и развитие таланта и способностей обучающихся;*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улучшение знаний в рамках школьной программы обучающимися.*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процент</w:t>
            </w:r>
          </w:p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3319d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3319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fe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20383304" TargetMode="External"/><Relationship Id="rId3" Type="http://schemas.openxmlformats.org/officeDocument/2006/relationships/hyperlink" Target="http://docs.cntd.ru/document/420261106" TargetMode="External"/><Relationship Id="rId4" Type="http://schemas.openxmlformats.org/officeDocument/2006/relationships/hyperlink" Target="http://docs.cntd.ru/document/420261106" TargetMode="External"/><Relationship Id="rId5" Type="http://schemas.openxmlformats.org/officeDocument/2006/relationships/hyperlink" Target="http://docs.cntd.ru/document/420261106" TargetMode="External"/><Relationship Id="rId6" Type="http://schemas.openxmlformats.org/officeDocument/2006/relationships/hyperlink" Target="http://docs.cntd.ru/document/420383304" TargetMode="External"/><Relationship Id="rId7" Type="http://schemas.openxmlformats.org/officeDocument/2006/relationships/hyperlink" Target="http://docs.cntd.ru/document/420261106" TargetMode="External"/><Relationship Id="rId8" Type="http://schemas.openxmlformats.org/officeDocument/2006/relationships/hyperlink" Target="http://docs.cntd.ru/document/420261106" TargetMode="External"/><Relationship Id="rId9" Type="http://schemas.openxmlformats.org/officeDocument/2006/relationships/hyperlink" Target="http://docs.cntd.ru/document/420261106" TargetMode="External"/><Relationship Id="rId10" Type="http://schemas.openxmlformats.org/officeDocument/2006/relationships/hyperlink" Target="http://docs.cntd.ru/document/420365861" TargetMode="External"/><Relationship Id="rId11" Type="http://schemas.openxmlformats.org/officeDocument/2006/relationships/hyperlink" Target="http://docs.cntd.ru/document/420365861" TargetMode="External"/><Relationship Id="rId12" Type="http://schemas.openxmlformats.org/officeDocument/2006/relationships/hyperlink" Target="http://docs.cntd.ru/document/420365861" TargetMode="External"/><Relationship Id="rId13" Type="http://schemas.openxmlformats.org/officeDocument/2006/relationships/hyperlink" Target="http://docs.cntd.ru/document/420261106" TargetMode="External"/><Relationship Id="rId14" Type="http://schemas.openxmlformats.org/officeDocument/2006/relationships/hyperlink" Target="http://docs.cntd.ru/document/420261106" TargetMode="External"/><Relationship Id="rId15" Type="http://schemas.openxmlformats.org/officeDocument/2006/relationships/hyperlink" Target="http://docs.cntd.ru/document/420383304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C77C-7391-4167-8BE1-308767E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LibreOffice/6.4.5.2$Windows_x86 LibreOffice_project/a726b36747cf2001e06b58ad5db1aa3a9a1872d6</Application>
  <Pages>13</Pages>
  <Words>3193</Words>
  <Characters>24918</Characters>
  <CharactersWithSpaces>27692</CharactersWithSpaces>
  <Paragraphs>501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2018-10-05T07:30:00Z</dcterms:created>
  <dc:creator>RONO</dc:creator>
  <dc:description/>
  <dc:language>ru-RU</dc:language>
  <cp:lastModifiedBy/>
  <cp:lastPrinted>2020-10-23T10:45:24Z</cp:lastPrinted>
  <dcterms:modified xsi:type="dcterms:W3CDTF">2020-10-23T15:37:33Z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